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both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教育学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院</w:t>
      </w:r>
      <w:r>
        <w:rPr>
          <w:rFonts w:hint="eastAsia" w:ascii="方正小标宋简体" w:eastAsia="方正小标宋简体"/>
          <w:sz w:val="44"/>
          <w:szCs w:val="44"/>
        </w:rPr>
        <w:t>硕士研究生优秀生源奖学金评审细则</w:t>
      </w:r>
    </w:p>
    <w:p>
      <w:pPr>
        <w:spacing w:line="540" w:lineRule="exact"/>
        <w:jc w:val="both"/>
        <w:rPr>
          <w:rFonts w:hint="eastAsia" w:ascii="方正小标宋简体" w:eastAsia="方正小标宋简体"/>
          <w:sz w:val="44"/>
          <w:szCs w:val="44"/>
        </w:rPr>
      </w:pP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为进一步推进研究生培养机制改革，强化研究生优秀生源奖学金在吸引优质生源中的作用，根据《福建师范大学全日制硕士研究生优秀生源奖学金实施暂行办法》等文件精神，结合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eastAsia="仿宋_GB2312"/>
          <w:sz w:val="32"/>
          <w:szCs w:val="32"/>
        </w:rPr>
        <w:t>工作实际，特制定本细则。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一、评选范围与基本条件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（一）奖励对象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具有中华人民共和国国籍和我校正式学籍、按时注册的全日制硕士研究生新生。因“西部支教”“三支一扶”等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原因</w:t>
      </w:r>
      <w:r>
        <w:rPr>
          <w:rFonts w:hint="eastAsia" w:ascii="仿宋_GB2312" w:eastAsia="仿宋_GB2312"/>
          <w:sz w:val="32"/>
          <w:szCs w:val="32"/>
        </w:rPr>
        <w:t>保留入学资格的研究生，于恢复入学的第一学年参评优秀生源奖学金。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以下研究生不参加优秀生源奖学金评选：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1.入学当年保留学籍的研究生；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2.未按时注册和缴纳学费的研究生；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3.经查实在入学考试报名材料中隐瞒事实或有虚假内容；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4.因违反国家法律、校规、校纪，受学校纪律处分仍在处分期的研究生；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（二）申请条件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1.热爱社会主义祖国，拥护中国共产党的领导；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2.遵守国家法律法规，遵守校规校纪；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3.诚实守信、品德优良，科研潜力突出；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二、奖励等级、标准与比例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一等奖学金8000元/生，二等奖学金6000元/生。推免生不限比例，统考生评选比例不超过全日制硕士生总数的30%。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三、申请与评审程序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（一）评定主要依据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1.推免生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所有推免生均直接享受一等奖学金（含研究生支教团）。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2.统考生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（1）国家“双一流”高校普通高等教育全日制本科毕业的统考生（不含独立学院）直接享受一等奖学金。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（2）以入学考试总成绩（初试成绩和复试成绩加权后的成绩）为主要依据，评定二等奖学金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一志愿和调剂生分开评选</w:t>
      </w:r>
      <w:r>
        <w:rPr>
          <w:rFonts w:hint="eastAsia" w:ascii="仿宋_GB2312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一志愿考生</w:t>
      </w:r>
      <w:r>
        <w:rPr>
          <w:rFonts w:hint="eastAsia" w:ascii="仿宋_GB2312" w:eastAsia="仿宋_GB2312"/>
          <w:sz w:val="32"/>
          <w:szCs w:val="32"/>
        </w:rPr>
        <w:t>总成绩在所在专业排名前30%的研究生可申请二等奖学金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调剂生不分专业</w:t>
      </w:r>
      <w:r>
        <w:rPr>
          <w:rFonts w:hint="eastAsia" w:ascii="仿宋_GB2312" w:eastAsia="仿宋_GB2312"/>
          <w:sz w:val="32"/>
          <w:szCs w:val="32"/>
        </w:rPr>
        <w:t>排名前30%的研究生可申请二等奖学金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根据学生申报情况和分配名额，按总成绩从高到低进行排序，择优评定。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（二）申请与评审工作于每年的10月至11月进行。研究生在规定时间内向教育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eastAsia="仿宋_GB2312"/>
          <w:sz w:val="32"/>
          <w:szCs w:val="32"/>
        </w:rPr>
        <w:t>提出书面申请，如实填写《福建师范大学硕士研究生优秀生源奖学金申请审批表》（以下简称“《申请审批表》”）。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（三）硕士研究生优秀生源奖学金每年评审一次。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eastAsia="仿宋_GB2312"/>
          <w:sz w:val="32"/>
          <w:szCs w:val="32"/>
        </w:rPr>
        <w:t>根据研究生申请情况和实际注册报到人数，综合考虑、择优确定拟获奖人员初步名单。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（四）教育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eastAsia="仿宋_GB2312"/>
          <w:sz w:val="32"/>
          <w:szCs w:val="32"/>
        </w:rPr>
        <w:t>研究生奖学金评审委员会对申请人进行资格审查和评审，提交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院</w:t>
      </w:r>
      <w:r>
        <w:rPr>
          <w:rFonts w:hint="eastAsia" w:ascii="仿宋_GB2312" w:eastAsia="仿宋_GB2312"/>
          <w:sz w:val="32"/>
          <w:szCs w:val="32"/>
        </w:rPr>
        <w:t>务会研究通过后，将名单和《申请审批表》在本单位公示5个工作日。公示无异议后，将材料提交校研究生奖助学金评审领导小组审核。审核结果在全校范围内公示5个工作日，公示无异议后由学校统一发文公布。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（五）对硕士研究生优秀生源奖学金评审结果有异议的，可在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eastAsia="仿宋_GB2312"/>
          <w:sz w:val="32"/>
          <w:szCs w:val="32"/>
        </w:rPr>
        <w:t>公示阶段向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奖学金评审委员会提出申诉，评审委员会应及时研究并予以答复。如申诉人对答复仍有异议，可在学校公示阶段向校研究生奖助学金评审领导小组提请裁决。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四、发放与管理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硕士研究生优秀生源奖学金经学校审定后，在新生入学报到注册并取得学籍后一次性发放。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五、工作要求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硕士研究生优秀生源奖学金评审工作应坚持公正、公平、公开原则，严格执行国家有关教育法规，杜绝弄虚作假。如发现工作人员弄虚作假或失职而导致不良后果的，视情节轻重追究其责任。如发现研究生弄虚作假或以不正当手段获得优秀生源奖学金，学校将追回优秀生源奖学金，并视情节轻重给予当事者纪律处分。</w:t>
      </w:r>
    </w:p>
    <w:p>
      <w:pPr>
        <w:spacing w:line="54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六、附则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本评定细则由福建师范大学教育学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院</w:t>
      </w:r>
      <w:r>
        <w:rPr>
          <w:rFonts w:hint="eastAsia" w:ascii="仿宋_GB2312" w:eastAsia="仿宋_GB2312"/>
          <w:sz w:val="32"/>
          <w:szCs w:val="32"/>
        </w:rPr>
        <w:t>研究生奖学金评审小组负责解释，自2020级硕士研究生开始执行。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40" w:lineRule="exact"/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</w:p>
    <w:p>
      <w:pPr>
        <w:wordWrap w:val="0"/>
        <w:spacing w:line="540" w:lineRule="exact"/>
        <w:ind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福建师范大学教育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学院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</w:t>
      </w:r>
    </w:p>
    <w:p>
      <w:pPr>
        <w:spacing w:line="540" w:lineRule="exact"/>
        <w:ind w:right="640"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</w:t>
      </w:r>
      <w:r>
        <w:rPr>
          <w:rFonts w:hint="eastAsia" w:ascii="仿宋_GB2312" w:eastAsia="仿宋_GB2312"/>
          <w:sz w:val="32"/>
          <w:szCs w:val="32"/>
        </w:rPr>
        <w:t xml:space="preserve">日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UwN2NhNmFjNDhkNDI5YjFhMmY3NzRjOTU4M2E4NzgifQ=="/>
  </w:docVars>
  <w:rsids>
    <w:rsidRoot w:val="007504B2"/>
    <w:rsid w:val="00050158"/>
    <w:rsid w:val="000B649A"/>
    <w:rsid w:val="00140CB6"/>
    <w:rsid w:val="0016614F"/>
    <w:rsid w:val="001E7A0B"/>
    <w:rsid w:val="00267AEB"/>
    <w:rsid w:val="002724E4"/>
    <w:rsid w:val="00521D2F"/>
    <w:rsid w:val="006E3B88"/>
    <w:rsid w:val="00746F9E"/>
    <w:rsid w:val="007504B2"/>
    <w:rsid w:val="00843EDB"/>
    <w:rsid w:val="00864F96"/>
    <w:rsid w:val="00970B6D"/>
    <w:rsid w:val="009F02ED"/>
    <w:rsid w:val="00A7659A"/>
    <w:rsid w:val="00AA22FD"/>
    <w:rsid w:val="00C7429C"/>
    <w:rsid w:val="00F3078C"/>
    <w:rsid w:val="00FB5DBC"/>
    <w:rsid w:val="0C112742"/>
    <w:rsid w:val="1F4556E5"/>
    <w:rsid w:val="2F435716"/>
    <w:rsid w:val="331258E4"/>
    <w:rsid w:val="362D09CF"/>
    <w:rsid w:val="419D0F0F"/>
    <w:rsid w:val="6E185625"/>
    <w:rsid w:val="79F2654C"/>
    <w:rsid w:val="7C17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1321</Words>
  <Characters>1351</Characters>
  <Lines>9</Lines>
  <Paragraphs>2</Paragraphs>
  <TotalTime>15</TotalTime>
  <ScaleCrop>false</ScaleCrop>
  <LinksUpToDate>false</LinksUpToDate>
  <CharactersWithSpaces>1360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2020-09-27T17:00:00Z</dcterms:created>
  <dc:creator>ASUS</dc:creator>
  <cp:lastModifiedBy>洪秋萍</cp:lastModifiedBy>
  <cp:lastPrinted>2020-09-27T19:22:00Z</cp:lastPrinted>
  <dcterms:modified xsi:type="dcterms:W3CDTF">2022-10-08T08:52:27Z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51995713EB1B4D0EA0F0F667DA0B5CE6</vt:lpwstr>
  </property>
</Properties>
</file>