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A95" w:rsidRDefault="005A61B7">
      <w:pPr>
        <w:spacing w:line="600" w:lineRule="exact"/>
        <w:ind w:firstLineChars="200" w:firstLine="420"/>
        <w:jc w:val="center"/>
        <w:rPr>
          <w:rFonts w:ascii="方正小标宋简体" w:eastAsia="方正小标宋简体"/>
          <w:color w:val="FF0000"/>
          <w:sz w:val="74"/>
          <w:szCs w:val="7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53100" cy="3649980"/>
            <wp:effectExtent l="0" t="0" r="7620" b="7620"/>
            <wp:wrapNone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364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2A95" w:rsidRDefault="003A2A95">
      <w:pPr>
        <w:spacing w:line="600" w:lineRule="exact"/>
        <w:jc w:val="center"/>
        <w:rPr>
          <w:rFonts w:ascii="方正小标宋简体" w:eastAsia="方正小标宋简体"/>
          <w:color w:val="FF0000"/>
          <w:sz w:val="74"/>
          <w:szCs w:val="74"/>
        </w:rPr>
      </w:pPr>
    </w:p>
    <w:p w:rsidR="003A2A95" w:rsidRDefault="003A2A95">
      <w:pPr>
        <w:spacing w:line="600" w:lineRule="exact"/>
        <w:jc w:val="center"/>
        <w:rPr>
          <w:rFonts w:ascii="方正小标宋简体" w:eastAsia="方正小标宋简体"/>
          <w:color w:val="FF0000"/>
          <w:sz w:val="74"/>
          <w:szCs w:val="74"/>
        </w:rPr>
      </w:pPr>
    </w:p>
    <w:p w:rsidR="003A2A95" w:rsidRDefault="003A2A95">
      <w:pPr>
        <w:spacing w:line="600" w:lineRule="exact"/>
        <w:jc w:val="center"/>
        <w:rPr>
          <w:rFonts w:ascii="方正小标宋简体" w:eastAsia="方正小标宋简体"/>
          <w:color w:val="FF0000"/>
          <w:sz w:val="74"/>
          <w:szCs w:val="74"/>
        </w:rPr>
      </w:pPr>
    </w:p>
    <w:p w:rsidR="003A2A95" w:rsidRDefault="003A2A95">
      <w:pPr>
        <w:spacing w:line="600" w:lineRule="exact"/>
        <w:jc w:val="center"/>
        <w:rPr>
          <w:rFonts w:ascii="方正小标宋简体" w:eastAsia="方正小标宋简体"/>
          <w:color w:val="FF0000"/>
          <w:sz w:val="74"/>
          <w:szCs w:val="74"/>
        </w:rPr>
      </w:pPr>
    </w:p>
    <w:p w:rsidR="003A2A95" w:rsidRDefault="003A2A95">
      <w:pPr>
        <w:spacing w:line="1200" w:lineRule="exact"/>
        <w:jc w:val="center"/>
        <w:rPr>
          <w:rFonts w:ascii="方正小标宋简体" w:eastAsia="方正小标宋简体" w:hAnsi="Calibri"/>
          <w:color w:val="FF0000"/>
          <w:w w:val="80"/>
          <w:sz w:val="76"/>
          <w:szCs w:val="76"/>
        </w:rPr>
      </w:pPr>
    </w:p>
    <w:p w:rsidR="003A2A95" w:rsidRDefault="005A61B7">
      <w:pPr>
        <w:tabs>
          <w:tab w:val="left" w:pos="2127"/>
          <w:tab w:val="left" w:pos="2552"/>
          <w:tab w:val="left" w:pos="3119"/>
          <w:tab w:val="left" w:pos="3402"/>
        </w:tabs>
        <w:spacing w:line="1200" w:lineRule="exact"/>
        <w:jc w:val="center"/>
        <w:rPr>
          <w:rFonts w:ascii="仿宋_GB2312" w:eastAsia="仿宋_GB2312"/>
          <w:sz w:val="32"/>
          <w:szCs w:val="32"/>
        </w:rPr>
      </w:pPr>
      <w:bookmarkStart w:id="1" w:name="doc_mark"/>
      <w:r>
        <w:rPr>
          <w:rFonts w:ascii="仿宋_GB2312" w:eastAsia="仿宋_GB2312" w:hint="eastAsia"/>
          <w:sz w:val="32"/>
          <w:szCs w:val="32"/>
        </w:rPr>
        <w:t>师大研〔2022〕21号</w:t>
      </w:r>
      <w:bookmarkEnd w:id="1"/>
    </w:p>
    <w:p w:rsidR="003A2A95" w:rsidRDefault="003A2A95"/>
    <w:p w:rsidR="003A2A95" w:rsidRDefault="003A2A95"/>
    <w:p w:rsidR="003A2A95" w:rsidRDefault="005A61B7">
      <w:pPr>
        <w:jc w:val="center"/>
        <w:rPr>
          <w:rFonts w:ascii="方正小标宋简体" w:eastAsia="方正小标宋简体" w:hAnsi="宋体"/>
          <w:sz w:val="44"/>
          <w:szCs w:val="44"/>
        </w:rPr>
      </w:pPr>
      <w:bookmarkStart w:id="2" w:name="subject"/>
      <w:r>
        <w:rPr>
          <w:rFonts w:ascii="方正小标宋简体" w:eastAsia="方正小标宋简体" w:hAnsi="宋体" w:hint="eastAsia"/>
          <w:sz w:val="44"/>
          <w:szCs w:val="44"/>
        </w:rPr>
        <w:t>关于做好2022年冬季各类研究生</w:t>
      </w:r>
    </w:p>
    <w:p w:rsidR="003A2A95" w:rsidRDefault="005A61B7">
      <w:pPr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学位论文答辩和学位授予工作的通知</w:t>
      </w:r>
      <w:bookmarkStart w:id="3" w:name="Content"/>
      <w:bookmarkEnd w:id="2"/>
      <w:bookmarkEnd w:id="3"/>
    </w:p>
    <w:p w:rsidR="003A2A95" w:rsidRDefault="003A2A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A2A95" w:rsidRDefault="005A61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各学院：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为做好2022年冬季各类研究生学位论文答辩和学位授予工作，从学位申请预登记到学位论文抽盲期间几个关键环节的时间节点，</w:t>
      </w:r>
      <w:r>
        <w:rPr>
          <w:rFonts w:ascii="仿宋_GB2312" w:eastAsia="仿宋_GB2312" w:hAnsi="仿宋_GB2312" w:cs="仿宋_GB2312"/>
          <w:sz w:val="32"/>
          <w:szCs w:val="32"/>
        </w:rPr>
        <w:t>须</w:t>
      </w:r>
      <w:r>
        <w:rPr>
          <w:rFonts w:ascii="仿宋_GB2312" w:eastAsia="仿宋_GB2312" w:hAnsi="仿宋_GB2312" w:cs="仿宋_GB2312" w:hint="eastAsia"/>
          <w:sz w:val="32"/>
          <w:szCs w:val="32"/>
        </w:rPr>
        <w:t>各学院自行制定，对应实施细则需在7月15日前公布，并报研究生院备案。请务必提早部署，认真做好2022年冬季学位论文答辩和学位授予工作。具体工作安排见附件1，现将有关事项通知如下：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从学位申请预登记到学位论文抽盲期间（2022年8月29日-2022年9月26日）几个关键环节的时间节点，各学院自行制定。</w:t>
      </w:r>
    </w:p>
    <w:p w:rsidR="003A2A95" w:rsidRDefault="005A61B7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一、学位申请预登记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学院启动2022年冬季申请学位预登记后，研究生本人登录“研究生管理信息系统”（http</w:t>
      </w:r>
      <w:r>
        <w:rPr>
          <w:rFonts w:ascii="仿宋_GB2312" w:eastAsia="仿宋_GB2312" w:hAnsi="仿宋_GB2312" w:cs="仿宋_GB2312"/>
          <w:sz w:val="32"/>
          <w:szCs w:val="32"/>
        </w:rPr>
        <w:t>s</w:t>
      </w:r>
      <w:r>
        <w:rPr>
          <w:rFonts w:ascii="仿宋_GB2312" w:eastAsia="仿宋_GB2312" w:hAnsi="仿宋_GB2312" w:cs="仿宋_GB2312" w:hint="eastAsia"/>
          <w:sz w:val="32"/>
          <w:szCs w:val="32"/>
        </w:rPr>
        <w:t>://gedu.fjnu.edu.cn，以下简称“系统”）中的“学位管理”-“论文管理”-“学位申请”提出申请，所在学院审核通过后方可进入资格审查等流程,逾期未提交申请的，本次学位申请自动终止。</w:t>
      </w:r>
    </w:p>
    <w:p w:rsidR="003A2A95" w:rsidRDefault="005A61B7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二、资格审查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（一）所在学院开展资格审查工作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1.9</w:t>
      </w:r>
      <w:r>
        <w:rPr>
          <w:rFonts w:ascii="仿宋_GB2312" w:eastAsia="仿宋_GB2312" w:hAnsi="仿宋_GB2312" w:cs="仿宋_GB231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16日前，各学院根据学校研究生毕业和学位申请的具体要求（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见附件2</w:t>
      </w:r>
      <w:r>
        <w:rPr>
          <w:rFonts w:ascii="仿宋_GB2312" w:eastAsia="仿宋_GB2312" w:hAnsi="仿宋_GB2312" w:cs="仿宋_GB2312" w:hint="eastAsia"/>
          <w:sz w:val="32"/>
          <w:szCs w:val="32"/>
        </w:rPr>
        <w:t>）开展审查工作。审查结果由各学院录入“系统”(学生可在“系统”查询)，并在学院网页公示5天（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无公示的学院，系统中将无法通过复查，无法上传送审论文，</w:t>
      </w:r>
      <w:r>
        <w:rPr>
          <w:rFonts w:ascii="仿宋_GB2312" w:eastAsia="仿宋_GB2312" w:hAnsi="仿宋_GB2312" w:cs="仿宋_GB2312" w:hint="eastAsia"/>
          <w:sz w:val="32"/>
          <w:szCs w:val="32"/>
        </w:rPr>
        <w:t>公示内容见附件3）。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研究生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学籍卡</w:t>
      </w:r>
      <w:r>
        <w:rPr>
          <w:rFonts w:ascii="仿宋_GB2312" w:eastAsia="仿宋_GB2312" w:hAnsi="仿宋_GB2312" w:cs="仿宋_GB2312" w:hint="eastAsia"/>
          <w:sz w:val="32"/>
          <w:szCs w:val="32"/>
        </w:rPr>
        <w:t>一式2份于9月16日前送研究生院。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.通过预答辩的博士研究生方能通过资格审核，</w:t>
      </w:r>
      <w:r>
        <w:rPr>
          <w:rFonts w:ascii="仿宋_GB2312" w:eastAsia="仿宋_GB2312" w:hAnsi="仿宋_GB2312" w:cs="仿宋_GB2312" w:hint="eastAsia"/>
          <w:sz w:val="32"/>
          <w:szCs w:val="32"/>
        </w:rPr>
        <w:t>并在9月16日前提交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《福建师范大学研究生学位论文预答辩意见书》</w:t>
      </w:r>
      <w:r>
        <w:rPr>
          <w:rFonts w:ascii="仿宋_GB2312" w:eastAsia="仿宋_GB2312" w:hAnsi="仿宋_GB2312" w:cs="仿宋_GB2312" w:hint="eastAsia"/>
          <w:sz w:val="32"/>
          <w:szCs w:val="32"/>
        </w:rPr>
        <w:t>1份到研究生院，2022级之前的硕士研究生可参照《福建师范大学研究生学位论文预答辩管理办法》（师大研〔2022〕19号）执行，2022级之后的研究生需严格按照该办法执行。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（二）9月19日-23日学校对各学院的资格审查情况进行抽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查，学院审查或学校抽查不合格者，须推迟申请学位。</w:t>
      </w:r>
    </w:p>
    <w:p w:rsidR="003A2A95" w:rsidRDefault="005A61B7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三、学院对送审论文进行文本复制比检测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毕业与学位申请资格复查合格者，方可参加学位论文文本复制比检测和送审。</w:t>
      </w:r>
    </w:p>
    <w:p w:rsidR="003A2A95" w:rsidRDefault="005A61B7">
      <w:pPr>
        <w:spacing w:line="600" w:lineRule="exact"/>
        <w:ind w:firstLineChars="200" w:firstLine="632"/>
        <w:rPr>
          <w:rFonts w:ascii="仿宋_GB2312" w:eastAsia="仿宋_GB2312" w:hAnsi="仿宋_GB2312" w:cs="仿宋_GB2312"/>
          <w:spacing w:val="-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2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b/>
          <w:bCs/>
          <w:spacing w:val="-2"/>
          <w:sz w:val="32"/>
          <w:szCs w:val="32"/>
        </w:rPr>
        <w:t>根据学院安排的时间节点，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研究生须登陆“系统”上传送审学位论文（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附件须与正文合并成一个PDF文件上传，同时上传论文摘要TXT文件，博士自评表或艺术创作作品链接文本需上传至附件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），并提醒导师登录系统对学位论文进行审核。</w:t>
      </w:r>
    </w:p>
    <w:p w:rsidR="003A2A95" w:rsidRDefault="005A61B7">
      <w:pPr>
        <w:spacing w:line="600" w:lineRule="exact"/>
        <w:ind w:firstLineChars="200" w:firstLine="632"/>
        <w:rPr>
          <w:rFonts w:ascii="仿宋_GB2312" w:eastAsia="仿宋_GB2312" w:hAnsi="仿宋_GB2312" w:cs="仿宋_GB2312"/>
          <w:spacing w:val="-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2"/>
          <w:sz w:val="32"/>
          <w:szCs w:val="32"/>
        </w:rPr>
        <w:t>2.导师在</w:t>
      </w:r>
      <w:r>
        <w:rPr>
          <w:rFonts w:ascii="仿宋_GB2312" w:eastAsia="仿宋_GB2312" w:hAnsi="仿宋_GB2312" w:cs="仿宋_GB2312" w:hint="eastAsia"/>
          <w:b/>
          <w:bCs/>
          <w:spacing w:val="-2"/>
          <w:sz w:val="32"/>
          <w:szCs w:val="32"/>
        </w:rPr>
        <w:t>各学院安排的时间节点内</w:t>
      </w:r>
      <w:r>
        <w:rPr>
          <w:rFonts w:ascii="仿宋_GB2312" w:eastAsia="仿宋_GB2312" w:hAnsi="仿宋_GB2312" w:cs="仿宋_GB2312" w:hint="eastAsia"/>
          <w:spacing w:val="-2"/>
          <w:sz w:val="32"/>
          <w:szCs w:val="32"/>
        </w:rPr>
        <w:t>完成对学位论文的审核，审核通过后学院方可进行检测。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根据《国务院学位委员会 教育部 国家保密局关于印发〈涉密研究生与涉密学位论文管理办法〉的通知》（学位〔2016〕27号）和《福建师范大学研究生非公开学位论文保密管理暂行规定》（师大学校办〔2014〕37号）文件规定，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学位论文申请“非公开”的，须在开题报告前提出，开题前未提出保密申请的，一概不予受理。</w:t>
      </w:r>
      <w:r>
        <w:rPr>
          <w:rFonts w:ascii="仿宋_GB2312" w:eastAsia="仿宋_GB2312" w:hAnsi="仿宋_GB2312" w:cs="仿宋_GB2312" w:hint="eastAsia"/>
          <w:sz w:val="32"/>
          <w:szCs w:val="32"/>
        </w:rPr>
        <w:t>保密申请通过审批的，须按照有关文件规定在学位论文开题、中期考核、送审、答辩等各个环节进行严格的保密管理，同时在“系统”内提交保密申请，具体要求见相关文件。</w:t>
      </w:r>
    </w:p>
    <w:p w:rsidR="003A2A95" w:rsidRDefault="005A61B7">
      <w:pPr>
        <w:spacing w:line="600" w:lineRule="exact"/>
        <w:ind w:firstLineChars="200" w:firstLine="624"/>
        <w:rPr>
          <w:rFonts w:ascii="仿宋_GB2312" w:eastAsia="仿宋_GB2312" w:hAnsi="仿宋_GB2312" w:cs="仿宋_GB2312"/>
          <w:spacing w:val="-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4.导师论文审核结束后，学院须对论文进行文本复制比检测，</w:t>
      </w:r>
      <w:r>
        <w:rPr>
          <w:rFonts w:ascii="仿宋_GB2312" w:eastAsia="仿宋_GB2312" w:hAnsi="仿宋_GB2312" w:cs="仿宋_GB2312" w:hint="eastAsia"/>
          <w:spacing w:val="-2"/>
          <w:sz w:val="32"/>
          <w:szCs w:val="32"/>
        </w:rPr>
        <w:t>检测报告由学院导入系统供师生查询，</w:t>
      </w:r>
      <w:r>
        <w:rPr>
          <w:rFonts w:ascii="仿宋_GB2312" w:eastAsia="仿宋_GB2312" w:hAnsi="仿宋_GB2312" w:cs="仿宋_GB2312" w:hint="eastAsia"/>
          <w:sz w:val="32"/>
          <w:szCs w:val="32"/>
        </w:rPr>
        <w:t>如发现严重剽窃、抄袭的论文，学院取消论文作者申请毕业和学位资格，按肄业处理</w:t>
      </w:r>
      <w:r>
        <w:rPr>
          <w:rFonts w:ascii="仿宋_GB2312" w:eastAsia="仿宋_GB2312" w:hAnsi="仿宋_GB2312" w:cs="仿宋_GB2312" w:hint="eastAsia"/>
          <w:spacing w:val="-2"/>
          <w:sz w:val="32"/>
          <w:szCs w:val="32"/>
        </w:rPr>
        <w:t>。对达到重复率上限的论文应启动审查程序，判定是否属于剽窃，并按照</w:t>
      </w:r>
      <w:r>
        <w:rPr>
          <w:rFonts w:ascii="仿宋_GB2312" w:eastAsia="仿宋_GB2312" w:hAnsi="仿宋_GB2312" w:cs="仿宋_GB2312" w:hint="eastAsia"/>
          <w:spacing w:val="-2"/>
          <w:sz w:val="32"/>
          <w:szCs w:val="32"/>
        </w:rPr>
        <w:lastRenderedPageBreak/>
        <w:t>《福建师范大学研究生学位论文作假行为处理实施细则》相关规定进行处理。</w:t>
      </w:r>
    </w:p>
    <w:p w:rsidR="003A2A95" w:rsidRDefault="005A61B7">
      <w:pPr>
        <w:spacing w:line="600" w:lineRule="exact"/>
        <w:ind w:firstLineChars="200" w:firstLine="624"/>
        <w:rPr>
          <w:rFonts w:ascii="仿宋_GB2312" w:eastAsia="仿宋_GB2312" w:hAnsi="仿宋_GB2312" w:cs="仿宋_GB2312"/>
          <w:spacing w:val="-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5.9月26日-27日下午4点，</w:t>
      </w:r>
      <w:r>
        <w:rPr>
          <w:rFonts w:ascii="仿宋_GB2312" w:eastAsia="仿宋_GB2312" w:hAnsi="仿宋_GB2312" w:cs="仿宋_GB2312" w:hint="eastAsia"/>
          <w:spacing w:val="-2"/>
          <w:sz w:val="32"/>
          <w:szCs w:val="32"/>
        </w:rPr>
        <w:t>学校审核论文检测结果，学位论文文本复制比要求按照国务院学位委员会各评议组（学术型）或教育部各学科教指委（专业型）规定的学位论文文本复制比要求执行（例如2020级及之后的艺术硕士要求重合字数不得超过10%），无明确要求的按照学位论文重合字数需小于总字数的20%执行。学位论文文本复制比超过规定要求的，至少推迟半年重新申请学位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四、论文送审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学位论文送审分为学校盲审和学院盲审，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时间为9月29日-11月10日。</w:t>
      </w:r>
    </w:p>
    <w:p w:rsidR="003A2A95" w:rsidRDefault="005A61B7">
      <w:pPr>
        <w:spacing w:line="600" w:lineRule="exact"/>
        <w:ind w:firstLineChars="200" w:firstLine="632"/>
        <w:rPr>
          <w:rFonts w:ascii="仿宋_GB2312" w:eastAsia="仿宋_GB2312" w:hAnsi="仿宋_GB2312" w:cs="仿宋_GB2312"/>
          <w:spacing w:val="-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2"/>
          <w:sz w:val="32"/>
          <w:szCs w:val="32"/>
        </w:rPr>
        <w:t>1.9月28日随机抽取学校盲审论文，未参加者自动推迟毕业。</w:t>
      </w:r>
    </w:p>
    <w:p w:rsidR="003A2A95" w:rsidRDefault="005A61B7">
      <w:pPr>
        <w:spacing w:line="600" w:lineRule="exact"/>
        <w:ind w:firstLineChars="200" w:firstLine="63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2"/>
          <w:sz w:val="32"/>
          <w:szCs w:val="32"/>
        </w:rPr>
        <w:t>2.学院盲审的硕士学位论文由所在学院组织校外同行专家进</w:t>
      </w:r>
      <w:r>
        <w:rPr>
          <w:rFonts w:ascii="仿宋_GB2312" w:eastAsia="仿宋_GB2312" w:hAnsi="仿宋_GB2312" w:cs="仿宋_GB2312" w:hint="eastAsia"/>
          <w:sz w:val="32"/>
          <w:szCs w:val="32"/>
        </w:rPr>
        <w:t>行评阅，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专家所在院校须与我校水平相当，</w:t>
      </w:r>
      <w:r>
        <w:rPr>
          <w:rFonts w:ascii="仿宋_GB2312" w:eastAsia="仿宋_GB2312" w:hAnsi="仿宋_GB2312" w:cs="仿宋_GB2312" w:hint="eastAsia"/>
          <w:sz w:val="32"/>
          <w:szCs w:val="32"/>
        </w:rPr>
        <w:t>每篇论文须送3位专家。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3.11月11日，研究生院公布学校盲审结果，送审不合格者按有关规定处理。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4.11月11日前，各学院核算学校盲审研究生的评审费用，并开具“经费说明”送交研究生院。</w:t>
      </w:r>
    </w:p>
    <w:p w:rsidR="003A2A95" w:rsidRDefault="005A61B7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五、论文答辩</w:t>
      </w:r>
    </w:p>
    <w:p w:rsidR="003A2A95" w:rsidRDefault="005A61B7">
      <w:pPr>
        <w:spacing w:line="600" w:lineRule="exact"/>
        <w:ind w:firstLineChars="200" w:firstLine="632"/>
        <w:rPr>
          <w:rFonts w:ascii="仿宋_GB2312" w:eastAsia="仿宋_GB2312" w:hAnsi="仿宋_GB2312" w:cs="仿宋_GB2312"/>
          <w:spacing w:val="-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2"/>
          <w:sz w:val="32"/>
          <w:szCs w:val="32"/>
        </w:rPr>
        <w:t>研究生须根据评阅意见对学位论文进行修改，填写《福建师范大学研究生学位论文专家评阅意见落实及修改情况表》，经学院认</w:t>
      </w:r>
      <w:r>
        <w:rPr>
          <w:rFonts w:ascii="仿宋_GB2312" w:eastAsia="仿宋_GB2312" w:hAnsi="仿宋_GB2312" w:cs="仿宋_GB2312" w:hint="eastAsia"/>
          <w:spacing w:val="-2"/>
          <w:sz w:val="32"/>
          <w:szCs w:val="32"/>
        </w:rPr>
        <w:lastRenderedPageBreak/>
        <w:t>定合格者，方可参加本次学位论文答辩。</w:t>
      </w:r>
    </w:p>
    <w:p w:rsidR="003A2A95" w:rsidRDefault="005A61B7">
      <w:pPr>
        <w:spacing w:line="600" w:lineRule="exact"/>
        <w:ind w:firstLineChars="200" w:firstLine="624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b/>
          <w:bCs/>
          <w:spacing w:val="-4"/>
          <w:sz w:val="32"/>
          <w:szCs w:val="32"/>
        </w:rPr>
        <w:t>11</w:t>
      </w:r>
      <w:r>
        <w:rPr>
          <w:rFonts w:ascii="仿宋_GB2312" w:eastAsia="仿宋_GB2312" w:hAnsi="仿宋_GB2312" w:cs="仿宋_GB2312"/>
          <w:b/>
          <w:bCs/>
          <w:spacing w:val="-4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b/>
          <w:bCs/>
          <w:spacing w:val="-4"/>
          <w:sz w:val="32"/>
          <w:szCs w:val="32"/>
        </w:rPr>
        <w:t>16日前</w:t>
      </w: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，各学院应完成学位</w:t>
      </w:r>
      <w:r>
        <w:rPr>
          <w:rFonts w:ascii="仿宋_GB2312" w:eastAsia="仿宋_GB2312" w:hAnsi="仿宋_GB2312" w:cs="仿宋_GB2312" w:hint="eastAsia"/>
          <w:b/>
          <w:bCs/>
          <w:spacing w:val="-4"/>
          <w:sz w:val="32"/>
          <w:szCs w:val="32"/>
        </w:rPr>
        <w:t>论文答辩</w:t>
      </w: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工作。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2.各学院须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提前</w:t>
      </w:r>
      <w:r>
        <w:rPr>
          <w:rFonts w:ascii="仿宋_GB2312" w:eastAsia="仿宋_GB2312" w:hAnsi="仿宋_GB2312" w:cs="仿宋_GB2312" w:hint="eastAsia"/>
          <w:sz w:val="32"/>
          <w:szCs w:val="32"/>
        </w:rPr>
        <w:t>在“系统”内录入答辩安排表，供师生查询，并提前三天公示答辩安排并报研究生院备案，有加审论文的学院应根据评审进度安排答辩时间。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3.答辩结束后，学院及时将答辩结果录入“系统”。</w:t>
      </w:r>
    </w:p>
    <w:p w:rsidR="003A2A95" w:rsidRDefault="005A61B7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六、学校对答辩后学位论文终稿进行文本复制比检测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11月17日前</w:t>
      </w:r>
      <w:r>
        <w:rPr>
          <w:rFonts w:ascii="仿宋_GB2312" w:eastAsia="仿宋_GB2312" w:hAnsi="仿宋_GB2312" w:cs="仿宋_GB2312" w:hint="eastAsia"/>
          <w:sz w:val="32"/>
          <w:szCs w:val="32"/>
        </w:rPr>
        <w:t>，研究生登陆 “系统”上传最终版论文电子版，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论文版本应与提交给图书馆的论文版本一致，因提交版本错误或逾期未提交产生的责任由研究生本人承担。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纸质版论文须作者和导师签名，论文电子档应附上带签名的授权声明书（除开题前申请保密的论文，其余勾选“不保密”）和原创性声明书扫描件。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11月18日下午4点前</w:t>
      </w:r>
      <w:r>
        <w:rPr>
          <w:rFonts w:ascii="仿宋_GB2312" w:eastAsia="仿宋_GB2312" w:hAnsi="仿宋_GB2312" w:cs="仿宋_GB2312" w:hint="eastAsia"/>
          <w:sz w:val="32"/>
          <w:szCs w:val="32"/>
        </w:rPr>
        <w:t>，导师在系统内完成对最终版论文的审核。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3.11月19日-21日，学校对最终版学位论文进行文本复制比检测，并将检测结果录入系统供师生查询，检测合格者方可提交校学位评定委员会会议审议、表决是否授予学位；学位论文文本复制比要求按照国务院学位委员会各评议组（学术型）或教育部各学科教指委（专业型）规定的学位论文文本复制比要求执行（例如2020级之后的艺术硕士要求重合字数不得超过10%），无明确要求的按照学位论文重合字数需小于总字数的20%执行。学位论文文本复制比超过规定要求的，至少推迟半年重新申请学位，如发现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严重剽窃、抄袭等学术不端的论文，取消论文作者毕业和申请学位资格。</w:t>
      </w:r>
    </w:p>
    <w:p w:rsidR="003A2A95" w:rsidRDefault="005A61B7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七、提交申请学位相关材料</w:t>
      </w:r>
    </w:p>
    <w:p w:rsidR="003A2A95" w:rsidRDefault="005A61B7">
      <w:pPr>
        <w:pStyle w:val="a9"/>
        <w:spacing w:line="600" w:lineRule="exact"/>
        <w:ind w:firstLineChars="200" w:firstLine="640"/>
        <w:rPr>
          <w:rFonts w:hAnsi="仿宋_GB2312" w:cs="仿宋_GB2312"/>
          <w:sz w:val="32"/>
          <w:szCs w:val="32"/>
        </w:rPr>
      </w:pPr>
      <w:r>
        <w:rPr>
          <w:rFonts w:hAnsi="仿宋_GB2312" w:cs="仿宋_GB2312" w:hint="eastAsia"/>
          <w:sz w:val="32"/>
          <w:szCs w:val="32"/>
        </w:rPr>
        <w:t>11月23日前，研究生向学院提交学位申请材料（材料内容见附件4），学院汇总后提交给研究生院，逾期未交者取消本次申请学位资格。</w:t>
      </w:r>
    </w:p>
    <w:p w:rsidR="003A2A95" w:rsidRDefault="005A61B7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八、学位授予</w:t>
      </w:r>
    </w:p>
    <w:p w:rsidR="003A2A95" w:rsidRDefault="005A61B7">
      <w:pPr>
        <w:spacing w:line="600" w:lineRule="exact"/>
        <w:ind w:firstLineChars="200" w:firstLine="624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1.12月中下旬，学校召开学位评定委员会会议，审议、表决授予学位名单。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2.毕业典礼暨学位授予仪式合并到2023年夏季举行，以学校具体通知为准。</w:t>
      </w:r>
    </w:p>
    <w:p w:rsidR="003A2A95" w:rsidRDefault="005A61B7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九、其它事项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2022年冬季</w:t>
      </w:r>
      <w:r>
        <w:rPr>
          <w:rFonts w:ascii="仿宋_GB2312" w:eastAsia="仿宋_GB2312" w:hAnsi="仿宋_GB2312" w:cs="仿宋_GB2312" w:hint="eastAsia"/>
          <w:sz w:val="32"/>
          <w:szCs w:val="32"/>
        </w:rPr>
        <w:t>学位论文答辩和学位授予工作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严格按规定的时间流程进行，未按要求完成相应流程者本次学位申请自动终止，</w:t>
      </w:r>
      <w:r>
        <w:rPr>
          <w:rFonts w:ascii="仿宋_GB2312" w:eastAsia="仿宋_GB2312" w:hAnsi="仿宋_GB2312" w:cs="仿宋_GB2312" w:hint="eastAsia"/>
          <w:sz w:val="32"/>
          <w:szCs w:val="32"/>
        </w:rPr>
        <w:t>至少推迟半年重新申请学位，各学院应高度重视，认真落实，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及时提醒学生和指导教师，按要求完成相应工作。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2022年冬季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研究生学位论文答辩和学位授予工作安排见附件1。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b/>
          <w:bCs/>
          <w:spacing w:val="-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pacing w:val="-2"/>
          <w:sz w:val="32"/>
          <w:szCs w:val="32"/>
        </w:rPr>
        <w:t>本通知未尽事宜将在研究生院主页补充公布。</w:t>
      </w:r>
      <w:r>
        <w:rPr>
          <w:rFonts w:ascii="仿宋_GB2312" w:eastAsia="仿宋_GB2312" w:hAnsi="仿宋_GB2312" w:cs="仿宋_GB2312" w:hint="eastAsia"/>
          <w:b/>
          <w:bCs/>
          <w:spacing w:val="-2"/>
          <w:sz w:val="32"/>
          <w:szCs w:val="32"/>
        </w:rPr>
        <w:t>有关工作文件和表格样式、学位论文模板等内容，可访问研究生院主页查阅、“学位管理”栏目下载。</w:t>
      </w:r>
    </w:p>
    <w:p w:rsidR="003A2A95" w:rsidRDefault="005A61B7">
      <w:pPr>
        <w:spacing w:line="600" w:lineRule="exact"/>
        <w:ind w:firstLineChars="200" w:firstLine="6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  <w:szCs w:val="32"/>
        </w:rPr>
        <w:t>研究生院主页：</w:t>
      </w:r>
      <w:hyperlink r:id="rId6" w:history="1">
        <w:r>
          <w:rPr>
            <w:rStyle w:val="16"/>
            <w:rFonts w:ascii="仿宋_GB2312" w:eastAsia="仿宋_GB2312" w:hAnsi="仿宋_GB2312" w:cs="仿宋_GB2312" w:hint="eastAsia"/>
            <w:sz w:val="32"/>
            <w:szCs w:val="32"/>
          </w:rPr>
          <w:t>http://yjsy.fjnu.edu.cn/</w:t>
        </w:r>
      </w:hyperlink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 系 电 话：22867438</w:t>
      </w:r>
    </w:p>
    <w:p w:rsidR="003A2A95" w:rsidRDefault="005A6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 系 部 门：研究生院学位管理科</w:t>
      </w:r>
    </w:p>
    <w:p w:rsidR="003A2A95" w:rsidRDefault="003A2A9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A2A95" w:rsidRDefault="005A61B7">
      <w:pPr>
        <w:spacing w:line="600" w:lineRule="exact"/>
        <w:ind w:leftChars="304" w:left="1918" w:hangingChars="400" w:hanging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附件：1.</w:t>
      </w:r>
      <w:r>
        <w:rPr>
          <w:rFonts w:ascii="仿宋_GB2312" w:eastAsia="仿宋_GB2312" w:hAnsi="仿宋_GB2312" w:cs="仿宋_GB2312" w:hint="eastAsia"/>
          <w:sz w:val="32"/>
          <w:szCs w:val="32"/>
        </w:rPr>
        <w:t>2022年冬季研究生学位论文答辩及学位授予工作安排表</w:t>
      </w:r>
    </w:p>
    <w:p w:rsidR="003A2A95" w:rsidRDefault="005A61B7">
      <w:pPr>
        <w:widowControl/>
        <w:spacing w:line="600" w:lineRule="exact"/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.各类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研究生毕业和学位申请资格审查的具体要求</w:t>
      </w:r>
    </w:p>
    <w:p w:rsidR="003A2A95" w:rsidRDefault="005A61B7">
      <w:pPr>
        <w:widowControl/>
        <w:spacing w:line="600" w:lineRule="exact"/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.资格审查结果学院网上公示内容（范本）</w:t>
      </w:r>
    </w:p>
    <w:p w:rsidR="003A2A95" w:rsidRDefault="005A61B7">
      <w:pPr>
        <w:widowControl/>
        <w:spacing w:line="600" w:lineRule="exact"/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.研究生提交申请学位材料的相关说明</w:t>
      </w:r>
    </w:p>
    <w:p w:rsidR="003A2A95" w:rsidRDefault="003A2A95">
      <w:pPr>
        <w:widowControl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A2A95" w:rsidRDefault="003A2A95">
      <w:pPr>
        <w:widowControl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A2A95" w:rsidRDefault="005A61B7">
      <w:pPr>
        <w:pStyle w:val="ac"/>
        <w:spacing w:line="560" w:lineRule="exact"/>
        <w:ind w:leftChars="0" w:left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hint="eastAsia"/>
        </w:rPr>
        <w:t xml:space="preserve">                       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研究生院</w:t>
      </w:r>
    </w:p>
    <w:p w:rsidR="003A2A95" w:rsidRDefault="005A61B7">
      <w:pPr>
        <w:pStyle w:val="ac"/>
        <w:spacing w:line="560" w:lineRule="exact"/>
        <w:ind w:leftChars="1800" w:left="3780" w:firstLineChars="420" w:firstLine="13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2022年7月1日</w:t>
      </w:r>
    </w:p>
    <w:p w:rsidR="003A2A95" w:rsidRDefault="003A2A95">
      <w:pPr>
        <w:rPr>
          <w:rFonts w:ascii="仿宋_GB2312" w:eastAsia="仿宋_GB2312" w:hAnsi="仿宋_GB2312" w:cs="仿宋_GB2312"/>
          <w:sz w:val="32"/>
          <w:szCs w:val="32"/>
        </w:rPr>
      </w:pPr>
    </w:p>
    <w:p w:rsidR="003A2A95" w:rsidRDefault="003A2A95">
      <w:pPr>
        <w:rPr>
          <w:rFonts w:ascii="仿宋_GB2312" w:eastAsia="仿宋_GB2312" w:hAnsi="仿宋_GB2312" w:cs="仿宋_GB2312"/>
          <w:sz w:val="32"/>
          <w:szCs w:val="32"/>
        </w:rPr>
      </w:pPr>
    </w:p>
    <w:p w:rsidR="003A2A95" w:rsidRDefault="003A2A95">
      <w:pPr>
        <w:rPr>
          <w:rFonts w:ascii="仿宋_GB2312" w:eastAsia="仿宋_GB2312" w:hAnsi="仿宋_GB2312" w:cs="仿宋_GB2312"/>
          <w:sz w:val="32"/>
          <w:szCs w:val="32"/>
        </w:rPr>
      </w:pPr>
    </w:p>
    <w:p w:rsidR="003A2A95" w:rsidRDefault="003A2A95">
      <w:pPr>
        <w:rPr>
          <w:rFonts w:ascii="仿宋_GB2312" w:eastAsia="仿宋_GB2312" w:hAnsi="仿宋_GB2312" w:cs="仿宋_GB2312"/>
          <w:sz w:val="32"/>
          <w:szCs w:val="32"/>
        </w:rPr>
      </w:pPr>
    </w:p>
    <w:p w:rsidR="003A2A95" w:rsidRDefault="003A2A95">
      <w:pPr>
        <w:rPr>
          <w:rFonts w:ascii="仿宋_GB2312" w:eastAsia="仿宋_GB2312" w:hAnsi="仿宋_GB2312" w:cs="仿宋_GB2312"/>
          <w:sz w:val="32"/>
          <w:szCs w:val="32"/>
        </w:rPr>
      </w:pPr>
    </w:p>
    <w:p w:rsidR="003A2A95" w:rsidRDefault="003A2A95">
      <w:pPr>
        <w:rPr>
          <w:rFonts w:ascii="仿宋_GB2312" w:eastAsia="仿宋_GB2312" w:hAnsi="仿宋_GB2312" w:cs="仿宋_GB2312"/>
          <w:sz w:val="32"/>
          <w:szCs w:val="32"/>
        </w:rPr>
      </w:pPr>
    </w:p>
    <w:p w:rsidR="003A2A95" w:rsidRDefault="003A2A95">
      <w:pPr>
        <w:rPr>
          <w:rFonts w:ascii="仿宋_GB2312" w:eastAsia="仿宋_GB2312" w:hAnsi="仿宋_GB2312" w:cs="仿宋_GB2312"/>
          <w:sz w:val="32"/>
          <w:szCs w:val="32"/>
        </w:rPr>
      </w:pPr>
    </w:p>
    <w:p w:rsidR="003A2A95" w:rsidRDefault="003A2A95">
      <w:pPr>
        <w:rPr>
          <w:rFonts w:ascii="仿宋_GB2312" w:eastAsia="仿宋_GB2312" w:hAnsi="仿宋_GB2312" w:cs="仿宋_GB2312"/>
          <w:sz w:val="32"/>
          <w:szCs w:val="32"/>
        </w:rPr>
      </w:pPr>
    </w:p>
    <w:p w:rsidR="003A2A95" w:rsidRDefault="003A2A95">
      <w:pPr>
        <w:pStyle w:val="ac"/>
        <w:spacing w:line="560" w:lineRule="exact"/>
        <w:ind w:leftChars="0" w:left="0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A2A95" w:rsidRDefault="005A61B7">
      <w:pPr>
        <w:pBdr>
          <w:top w:val="single" w:sz="6" w:space="1" w:color="auto"/>
          <w:bottom w:val="single" w:sz="6" w:space="1" w:color="auto"/>
        </w:pBd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福建师范大学研究生院                       2022年7月1日印发</w:t>
      </w:r>
    </w:p>
    <w:sectPr w:rsidR="003A2A95">
      <w:pgSz w:w="11906" w:h="16838"/>
      <w:pgMar w:top="1871" w:right="1418" w:bottom="1701" w:left="1418" w:header="851" w:footer="1361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29BB2A"/>
    <w:multiLevelType w:val="multilevel"/>
    <w:tmpl w:val="5629BB2A"/>
    <w:lvl w:ilvl="0">
      <w:start w:val="1"/>
      <w:numFmt w:val="decimal"/>
      <w:pStyle w:val="1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4677"/>
        </w:tabs>
        <w:ind w:left="4677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2977"/>
        </w:tabs>
        <w:ind w:left="2977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-200"/>
        </w:tabs>
        <w:ind w:left="-200" w:firstLine="2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Q4OWVlNzNjNjZiNWYyZWY5MWNhYThjZWFmMWRjOGYifQ=="/>
  </w:docVars>
  <w:rsids>
    <w:rsidRoot w:val="00F37C64"/>
    <w:rsid w:val="00034018"/>
    <w:rsid w:val="00083E44"/>
    <w:rsid w:val="00084905"/>
    <w:rsid w:val="000E50E9"/>
    <w:rsid w:val="000E6E8D"/>
    <w:rsid w:val="000F1E1D"/>
    <w:rsid w:val="00103570"/>
    <w:rsid w:val="00135D73"/>
    <w:rsid w:val="00177F50"/>
    <w:rsid w:val="0018288D"/>
    <w:rsid w:val="001A59C8"/>
    <w:rsid w:val="001B4536"/>
    <w:rsid w:val="001E6F26"/>
    <w:rsid w:val="001F6839"/>
    <w:rsid w:val="002177B7"/>
    <w:rsid w:val="00237D4C"/>
    <w:rsid w:val="0024127D"/>
    <w:rsid w:val="002631A4"/>
    <w:rsid w:val="002A14D6"/>
    <w:rsid w:val="002A7BC2"/>
    <w:rsid w:val="003012E2"/>
    <w:rsid w:val="00340ADB"/>
    <w:rsid w:val="00362963"/>
    <w:rsid w:val="00375F86"/>
    <w:rsid w:val="003A2A95"/>
    <w:rsid w:val="003B58A7"/>
    <w:rsid w:val="003B7E0B"/>
    <w:rsid w:val="003D19BC"/>
    <w:rsid w:val="00410162"/>
    <w:rsid w:val="0044309E"/>
    <w:rsid w:val="004913EC"/>
    <w:rsid w:val="004B3B1B"/>
    <w:rsid w:val="004C4BE4"/>
    <w:rsid w:val="004F29DE"/>
    <w:rsid w:val="00513E04"/>
    <w:rsid w:val="00516DE2"/>
    <w:rsid w:val="00525A63"/>
    <w:rsid w:val="00545D15"/>
    <w:rsid w:val="00546B93"/>
    <w:rsid w:val="00557962"/>
    <w:rsid w:val="00576D79"/>
    <w:rsid w:val="005855C0"/>
    <w:rsid w:val="005A61B7"/>
    <w:rsid w:val="005F3025"/>
    <w:rsid w:val="00622FAC"/>
    <w:rsid w:val="00643E3C"/>
    <w:rsid w:val="00665673"/>
    <w:rsid w:val="006740D9"/>
    <w:rsid w:val="00676E54"/>
    <w:rsid w:val="00685B0E"/>
    <w:rsid w:val="006930F1"/>
    <w:rsid w:val="00696D15"/>
    <w:rsid w:val="006A0429"/>
    <w:rsid w:val="006D179B"/>
    <w:rsid w:val="006D4FC8"/>
    <w:rsid w:val="006D6BF6"/>
    <w:rsid w:val="00722204"/>
    <w:rsid w:val="00723516"/>
    <w:rsid w:val="00730F56"/>
    <w:rsid w:val="007B0E0A"/>
    <w:rsid w:val="007B51D5"/>
    <w:rsid w:val="007D0D5B"/>
    <w:rsid w:val="007D6D9C"/>
    <w:rsid w:val="00804334"/>
    <w:rsid w:val="008310FC"/>
    <w:rsid w:val="0083751F"/>
    <w:rsid w:val="008642E7"/>
    <w:rsid w:val="00867EEE"/>
    <w:rsid w:val="00880B6F"/>
    <w:rsid w:val="00893072"/>
    <w:rsid w:val="00897C91"/>
    <w:rsid w:val="008C0FE0"/>
    <w:rsid w:val="0090690F"/>
    <w:rsid w:val="00913E61"/>
    <w:rsid w:val="00920969"/>
    <w:rsid w:val="00926AA0"/>
    <w:rsid w:val="00927231"/>
    <w:rsid w:val="00962B0F"/>
    <w:rsid w:val="009928EB"/>
    <w:rsid w:val="009C1BCD"/>
    <w:rsid w:val="009C4933"/>
    <w:rsid w:val="009F07F5"/>
    <w:rsid w:val="00A00BDF"/>
    <w:rsid w:val="00A243BB"/>
    <w:rsid w:val="00A70EF7"/>
    <w:rsid w:val="00A72468"/>
    <w:rsid w:val="00AD38CB"/>
    <w:rsid w:val="00B16363"/>
    <w:rsid w:val="00B40317"/>
    <w:rsid w:val="00B66D01"/>
    <w:rsid w:val="00B82E4F"/>
    <w:rsid w:val="00C127FA"/>
    <w:rsid w:val="00C12A23"/>
    <w:rsid w:val="00C40349"/>
    <w:rsid w:val="00C50B49"/>
    <w:rsid w:val="00C53DC7"/>
    <w:rsid w:val="00C7501B"/>
    <w:rsid w:val="00C83117"/>
    <w:rsid w:val="00C928A9"/>
    <w:rsid w:val="00CA1A8D"/>
    <w:rsid w:val="00CA3459"/>
    <w:rsid w:val="00CD766B"/>
    <w:rsid w:val="00CF5450"/>
    <w:rsid w:val="00D059FE"/>
    <w:rsid w:val="00D26015"/>
    <w:rsid w:val="00D81F94"/>
    <w:rsid w:val="00D90AC3"/>
    <w:rsid w:val="00E05A72"/>
    <w:rsid w:val="00E21A49"/>
    <w:rsid w:val="00E33BE3"/>
    <w:rsid w:val="00E40C13"/>
    <w:rsid w:val="00E512CE"/>
    <w:rsid w:val="00E564D6"/>
    <w:rsid w:val="00E625AC"/>
    <w:rsid w:val="00E724D8"/>
    <w:rsid w:val="00E9358E"/>
    <w:rsid w:val="00EB1445"/>
    <w:rsid w:val="00EB775C"/>
    <w:rsid w:val="00ED53EE"/>
    <w:rsid w:val="00EE57E5"/>
    <w:rsid w:val="00EF0464"/>
    <w:rsid w:val="00F15AB9"/>
    <w:rsid w:val="00F368E1"/>
    <w:rsid w:val="00F37C64"/>
    <w:rsid w:val="00F44B06"/>
    <w:rsid w:val="00F67067"/>
    <w:rsid w:val="00FB2C38"/>
    <w:rsid w:val="00FB77CF"/>
    <w:rsid w:val="00FC4730"/>
    <w:rsid w:val="00FE732C"/>
    <w:rsid w:val="00FF2B72"/>
    <w:rsid w:val="00FF4A58"/>
    <w:rsid w:val="095F410D"/>
    <w:rsid w:val="0EF34AAD"/>
    <w:rsid w:val="1552634A"/>
    <w:rsid w:val="17482BD8"/>
    <w:rsid w:val="46BF65A6"/>
    <w:rsid w:val="5B2B13A3"/>
    <w:rsid w:val="6BD46EF8"/>
    <w:rsid w:val="76D0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41BA0B0-F897-40C0-AFCF-AC7031829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0"/>
    <w:link w:val="12"/>
    <w:qFormat/>
    <w:pPr>
      <w:keepNext/>
      <w:keepLines/>
      <w:widowControl/>
      <w:numPr>
        <w:numId w:val="1"/>
      </w:numPr>
      <w:spacing w:before="120" w:after="120" w:line="360" w:lineRule="auto"/>
      <w:jc w:val="left"/>
      <w:outlineLvl w:val="0"/>
    </w:pPr>
    <w:rPr>
      <w:rFonts w:ascii="宋体" w:eastAsia="黑体" w:hAnsi="宋体"/>
      <w:b/>
      <w:kern w:val="44"/>
      <w:sz w:val="32"/>
      <w:szCs w:val="32"/>
    </w:rPr>
  </w:style>
  <w:style w:type="paragraph" w:styleId="2">
    <w:name w:val="heading 2"/>
    <w:basedOn w:val="a"/>
    <w:next w:val="a"/>
    <w:link w:val="22"/>
    <w:qFormat/>
    <w:pPr>
      <w:keepNext/>
      <w:keepLines/>
      <w:spacing w:beforeLines="100" w:before="100" w:afterLines="100" w:after="100" w:line="400" w:lineRule="exact"/>
      <w:ind w:firstLineChars="200" w:firstLine="200"/>
      <w:jc w:val="center"/>
      <w:outlineLvl w:val="1"/>
    </w:pPr>
    <w:rPr>
      <w:rFonts w:ascii="Arial" w:eastAsia="楷体_GB2312" w:hAnsi="Arial"/>
      <w:b/>
      <w:bCs/>
      <w:sz w:val="32"/>
      <w:szCs w:val="32"/>
    </w:rPr>
  </w:style>
  <w:style w:type="paragraph" w:styleId="3">
    <w:name w:val="heading 3"/>
    <w:basedOn w:val="a"/>
    <w:next w:val="a0"/>
    <w:link w:val="31"/>
    <w:qFormat/>
    <w:pPr>
      <w:keepNext/>
      <w:keepLines/>
      <w:widowControl/>
      <w:numPr>
        <w:ilvl w:val="2"/>
        <w:numId w:val="1"/>
      </w:numPr>
      <w:spacing w:before="120" w:after="120"/>
      <w:ind w:rightChars="100" w:right="100"/>
      <w:jc w:val="left"/>
      <w:outlineLvl w:val="2"/>
    </w:pPr>
    <w:rPr>
      <w:rFonts w:ascii="等线" w:eastAsia="仿宋" w:hAnsi="等线"/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link w:val="a5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link w:val="a6"/>
    <w:uiPriority w:val="99"/>
    <w:unhideWhenUsed/>
    <w:qFormat/>
    <w:pPr>
      <w:spacing w:after="120"/>
    </w:pPr>
    <w:rPr>
      <w:rFonts w:ascii="等线" w:eastAsia="等线" w:hAnsi="等线"/>
      <w:szCs w:val="22"/>
    </w:rPr>
  </w:style>
  <w:style w:type="paragraph" w:styleId="a7">
    <w:name w:val="annotation text"/>
    <w:basedOn w:val="a"/>
    <w:link w:val="a8"/>
    <w:uiPriority w:val="99"/>
    <w:unhideWhenUsed/>
    <w:qFormat/>
    <w:pPr>
      <w:jc w:val="left"/>
    </w:pPr>
  </w:style>
  <w:style w:type="paragraph" w:styleId="30">
    <w:name w:val="Body Text 3"/>
    <w:basedOn w:val="a"/>
    <w:uiPriority w:val="99"/>
    <w:unhideWhenUsed/>
    <w:qFormat/>
    <w:pPr>
      <w:jc w:val="center"/>
    </w:pPr>
    <w:rPr>
      <w:rFonts w:ascii="仿宋_GB2312" w:eastAsia="仿宋_GB2312"/>
      <w:b/>
      <w:sz w:val="28"/>
      <w:szCs w:val="30"/>
    </w:rPr>
  </w:style>
  <w:style w:type="paragraph" w:styleId="a9">
    <w:name w:val="Body Text Indent"/>
    <w:basedOn w:val="a"/>
    <w:link w:val="aa"/>
    <w:qFormat/>
    <w:pPr>
      <w:ind w:firstLineChars="180" w:firstLine="540"/>
    </w:pPr>
    <w:rPr>
      <w:rFonts w:ascii="仿宋_GB2312" w:eastAsia="仿宋_GB2312"/>
      <w:sz w:val="30"/>
    </w:rPr>
  </w:style>
  <w:style w:type="paragraph" w:styleId="ab">
    <w:name w:val="Plain Text"/>
    <w:basedOn w:val="a"/>
    <w:uiPriority w:val="99"/>
    <w:unhideWhenUsed/>
    <w:qFormat/>
    <w:rPr>
      <w:rFonts w:ascii="宋体" w:hAnsi="Courier New"/>
      <w:szCs w:val="20"/>
    </w:rPr>
  </w:style>
  <w:style w:type="paragraph" w:styleId="ac">
    <w:name w:val="Date"/>
    <w:basedOn w:val="a"/>
    <w:next w:val="a"/>
    <w:link w:val="ad"/>
    <w:qFormat/>
    <w:pPr>
      <w:ind w:leftChars="2500" w:left="100"/>
    </w:pPr>
  </w:style>
  <w:style w:type="paragraph" w:styleId="20">
    <w:name w:val="Body Text Indent 2"/>
    <w:basedOn w:val="a"/>
    <w:uiPriority w:val="99"/>
    <w:unhideWhenUsed/>
    <w:qFormat/>
    <w:pPr>
      <w:spacing w:after="120" w:line="480" w:lineRule="auto"/>
      <w:ind w:leftChars="200" w:left="420"/>
    </w:pPr>
  </w:style>
  <w:style w:type="paragraph" w:styleId="ae">
    <w:name w:val="Balloon Text"/>
    <w:basedOn w:val="a"/>
    <w:uiPriority w:val="99"/>
    <w:unhideWhenUsed/>
    <w:qFormat/>
    <w:rPr>
      <w:sz w:val="18"/>
      <w:szCs w:val="18"/>
    </w:r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1">
    <w:name w:val="header"/>
    <w:basedOn w:val="a"/>
    <w:link w:val="af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Body Text 2"/>
    <w:basedOn w:val="a"/>
    <w:uiPriority w:val="99"/>
    <w:unhideWhenUsed/>
    <w:qFormat/>
    <w:pPr>
      <w:spacing w:after="120" w:line="480" w:lineRule="auto"/>
    </w:p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4">
    <w:name w:val="annotation subject"/>
    <w:basedOn w:val="a7"/>
    <w:next w:val="a7"/>
    <w:link w:val="af5"/>
    <w:uiPriority w:val="99"/>
    <w:unhideWhenUsed/>
    <w:qFormat/>
    <w:rPr>
      <w:b/>
      <w:bCs/>
    </w:rPr>
  </w:style>
  <w:style w:type="character" w:styleId="af6">
    <w:name w:val="Strong"/>
    <w:uiPriority w:val="22"/>
    <w:qFormat/>
    <w:rPr>
      <w:rFonts w:ascii="Times New Roman" w:eastAsia="宋体" w:hAnsi="Times New Roman" w:cs="Times New Roman"/>
      <w:b/>
      <w:bCs/>
    </w:rPr>
  </w:style>
  <w:style w:type="character" w:styleId="af7">
    <w:name w:val="page number"/>
    <w:uiPriority w:val="99"/>
    <w:unhideWhenUsed/>
    <w:qFormat/>
    <w:rPr>
      <w:rFonts w:ascii="Times New Roman" w:eastAsia="宋体" w:hAnsi="Times New Roman" w:cs="Times New Roman"/>
    </w:rPr>
  </w:style>
  <w:style w:type="character" w:styleId="af8">
    <w:name w:val="FollowedHyperlink"/>
    <w:uiPriority w:val="99"/>
    <w:unhideWhenUsed/>
    <w:qFormat/>
    <w:rPr>
      <w:rFonts w:ascii="Times New Roman" w:eastAsia="宋体" w:hAnsi="Times New Roman" w:cs="Times New Roman"/>
      <w:color w:val="800080"/>
      <w:u w:val="single"/>
    </w:rPr>
  </w:style>
  <w:style w:type="character" w:styleId="af9">
    <w:name w:val="Hyperlink"/>
    <w:uiPriority w:val="99"/>
    <w:unhideWhenUsed/>
    <w:qFormat/>
    <w:rPr>
      <w:rFonts w:ascii="Times New Roman" w:eastAsia="宋体" w:hAnsi="Times New Roman" w:cs="Times New Roman"/>
      <w:color w:val="261CDC"/>
      <w:u w:val="single"/>
    </w:rPr>
  </w:style>
  <w:style w:type="character" w:styleId="afa">
    <w:name w:val="annotation reference"/>
    <w:uiPriority w:val="99"/>
    <w:unhideWhenUsed/>
    <w:qFormat/>
    <w:rPr>
      <w:rFonts w:ascii="Times New Roman" w:eastAsia="宋体" w:hAnsi="Times New Roman" w:cs="Times New Roman"/>
      <w:sz w:val="21"/>
      <w:szCs w:val="21"/>
    </w:rPr>
  </w:style>
  <w:style w:type="character" w:customStyle="1" w:styleId="Char">
    <w:name w:val="页眉 Char"/>
    <w:qFormat/>
    <w:rPr>
      <w:kern w:val="2"/>
      <w:sz w:val="18"/>
      <w:szCs w:val="18"/>
    </w:rPr>
  </w:style>
  <w:style w:type="character" w:customStyle="1" w:styleId="Char0">
    <w:name w:val="页脚 Char"/>
    <w:qFormat/>
    <w:rPr>
      <w:kern w:val="2"/>
      <w:sz w:val="18"/>
      <w:szCs w:val="18"/>
    </w:rPr>
  </w:style>
  <w:style w:type="character" w:customStyle="1" w:styleId="12">
    <w:name w:val="标题 1 字符2"/>
    <w:link w:val="1"/>
    <w:qFormat/>
    <w:rPr>
      <w:rFonts w:ascii="宋体" w:eastAsia="黑体" w:hAnsi="宋体" w:cs="Times New Roman"/>
      <w:b/>
      <w:kern w:val="44"/>
      <w:sz w:val="32"/>
      <w:szCs w:val="32"/>
    </w:rPr>
  </w:style>
  <w:style w:type="character" w:customStyle="1" w:styleId="a6">
    <w:name w:val="正文文本 字符"/>
    <w:link w:val="a4"/>
    <w:uiPriority w:val="99"/>
    <w:semiHidden/>
    <w:qFormat/>
    <w:rPr>
      <w:rFonts w:ascii="等线" w:eastAsia="等线" w:hAnsi="等线" w:cs="Times New Roman"/>
      <w:szCs w:val="22"/>
    </w:rPr>
  </w:style>
  <w:style w:type="character" w:customStyle="1" w:styleId="a5">
    <w:name w:val="正文文本首行缩进 字符"/>
    <w:link w:val="a0"/>
    <w:uiPriority w:val="99"/>
    <w:semiHidden/>
    <w:qFormat/>
    <w:rPr>
      <w:rFonts w:ascii="Times New Roman" w:eastAsia="宋体" w:hAnsi="Times New Roman" w:cs="Times New Roman"/>
    </w:rPr>
  </w:style>
  <w:style w:type="character" w:customStyle="1" w:styleId="22">
    <w:name w:val="标题 2 字符2"/>
    <w:link w:val="2"/>
    <w:qFormat/>
    <w:rPr>
      <w:rFonts w:ascii="Arial" w:eastAsia="楷体_GB2312" w:hAnsi="Arial" w:cs="Times New Roman"/>
      <w:b/>
      <w:bCs/>
      <w:sz w:val="32"/>
      <w:szCs w:val="32"/>
    </w:rPr>
  </w:style>
  <w:style w:type="character" w:customStyle="1" w:styleId="31">
    <w:name w:val="标题 3 字符1"/>
    <w:link w:val="3"/>
    <w:qFormat/>
    <w:rPr>
      <w:rFonts w:ascii="等线" w:eastAsia="仿宋" w:hAnsi="等线" w:cs="Times New Roman"/>
      <w:b/>
      <w:bCs/>
      <w:sz w:val="32"/>
    </w:rPr>
  </w:style>
  <w:style w:type="character" w:customStyle="1" w:styleId="a8">
    <w:name w:val="批注文字 字符"/>
    <w:link w:val="a7"/>
    <w:uiPriority w:val="99"/>
    <w:qFormat/>
    <w:rPr>
      <w:rFonts w:ascii="Times New Roman" w:eastAsia="宋体" w:hAnsi="Times New Roman" w:cs="Times New Roman"/>
    </w:rPr>
  </w:style>
  <w:style w:type="character" w:customStyle="1" w:styleId="aa">
    <w:name w:val="正文文本缩进 字符"/>
    <w:link w:val="a9"/>
    <w:qFormat/>
    <w:rPr>
      <w:rFonts w:ascii="仿宋_GB2312" w:eastAsia="仿宋_GB2312" w:hAnsi="Times New Roman" w:cs="Times New Roman"/>
      <w:sz w:val="30"/>
    </w:rPr>
  </w:style>
  <w:style w:type="character" w:customStyle="1" w:styleId="ad">
    <w:name w:val="日期 字符"/>
    <w:link w:val="ac"/>
    <w:qFormat/>
    <w:rPr>
      <w:rFonts w:ascii="Times New Roman" w:eastAsia="宋体" w:hAnsi="Times New Roman" w:cs="Times New Roman"/>
    </w:rPr>
  </w:style>
  <w:style w:type="character" w:customStyle="1" w:styleId="af0">
    <w:name w:val="页脚 字符"/>
    <w:link w:val="af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f2">
    <w:name w:val="页眉 字符"/>
    <w:link w:val="af1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f5">
    <w:name w:val="批注主题 字符"/>
    <w:link w:val="af4"/>
    <w:uiPriority w:val="99"/>
    <w:semiHidden/>
    <w:qFormat/>
    <w:rPr>
      <w:rFonts w:ascii="Times New Roman" w:eastAsia="宋体" w:hAnsi="Times New Roman" w:cs="Times New Roman"/>
      <w:b/>
      <w:bCs/>
    </w:rPr>
  </w:style>
  <w:style w:type="character" w:customStyle="1" w:styleId="2Char">
    <w:name w:val="标题 2 Char"/>
    <w:qFormat/>
    <w:rPr>
      <w:rFonts w:ascii="Arial" w:eastAsia="楷体_GB2312" w:hAnsi="Arial" w:cs="Times New Roman"/>
      <w:b/>
      <w:bCs/>
      <w:kern w:val="2"/>
      <w:sz w:val="32"/>
      <w:szCs w:val="32"/>
      <w:lang w:val="en-US" w:eastAsia="zh-CN" w:bidi="ar-SA"/>
    </w:rPr>
  </w:style>
  <w:style w:type="paragraph" w:customStyle="1" w:styleId="xy2">
    <w:name w:val="xy2"/>
    <w:basedOn w:val="a"/>
    <w:qFormat/>
    <w:pPr>
      <w:widowControl/>
      <w:spacing w:before="100" w:beforeAutospacing="1" w:after="100" w:afterAutospacing="1" w:line="300" w:lineRule="atLeast"/>
      <w:jc w:val="left"/>
    </w:pPr>
    <w:rPr>
      <w:rFonts w:ascii="Verdana" w:hAnsi="Verdana" w:cs="宋体"/>
      <w:kern w:val="0"/>
      <w:sz w:val="18"/>
      <w:szCs w:val="18"/>
    </w:rPr>
  </w:style>
  <w:style w:type="character" w:customStyle="1" w:styleId="style1">
    <w:name w:val="style1"/>
    <w:qFormat/>
    <w:rPr>
      <w:rFonts w:ascii="Times New Roman" w:eastAsia="宋体" w:hAnsi="Times New Roman" w:cs="Times New Roman"/>
    </w:rPr>
  </w:style>
  <w:style w:type="paragraph" w:customStyle="1" w:styleId="DefaultParagraphFontParaChar">
    <w:name w:val="Default Paragraph Font Para Char"/>
    <w:basedOn w:val="a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3">
    <w:name w:val="2"/>
    <w:basedOn w:val="a"/>
    <w:next w:val="20"/>
    <w:qFormat/>
    <w:pPr>
      <w:spacing w:line="300" w:lineRule="exact"/>
      <w:ind w:firstLineChars="200" w:firstLine="420"/>
    </w:pPr>
  </w:style>
  <w:style w:type="paragraph" w:customStyle="1" w:styleId="Char1">
    <w:name w:val="Char"/>
    <w:basedOn w:val="a"/>
    <w:semiHidden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10">
    <w:name w:val="标题 1 字符"/>
    <w:uiPriority w:val="9"/>
    <w:qFormat/>
    <w:rPr>
      <w:rFonts w:ascii="等线" w:eastAsia="等线" w:hAnsi="等线" w:cs="Times New Roman"/>
      <w:b/>
      <w:bCs/>
      <w:kern w:val="44"/>
      <w:sz w:val="44"/>
      <w:szCs w:val="44"/>
    </w:rPr>
  </w:style>
  <w:style w:type="character" w:customStyle="1" w:styleId="11">
    <w:name w:val="标题 1 字符1"/>
    <w:qFormat/>
    <w:rPr>
      <w:rFonts w:ascii="等线" w:eastAsia="黑体" w:hAnsi="等线" w:cs="Times New Roman"/>
      <w:b/>
      <w:bCs/>
      <w:kern w:val="44"/>
      <w:sz w:val="32"/>
      <w:szCs w:val="30"/>
    </w:rPr>
  </w:style>
  <w:style w:type="character" w:customStyle="1" w:styleId="24">
    <w:name w:val="标题 2 字符"/>
    <w:uiPriority w:val="9"/>
    <w:semiHidden/>
    <w:qFormat/>
    <w:rPr>
      <w:rFonts w:ascii="等线 Light" w:eastAsia="等线 Light" w:hAnsi="等线 Light" w:cs="Times New Roman"/>
      <w:b/>
      <w:bCs/>
      <w:sz w:val="32"/>
      <w:szCs w:val="32"/>
    </w:rPr>
  </w:style>
  <w:style w:type="character" w:customStyle="1" w:styleId="210">
    <w:name w:val="标题 2 字符1"/>
    <w:qFormat/>
    <w:rPr>
      <w:rFonts w:ascii="宋体" w:eastAsia="楷体" w:hAnsi="宋体" w:cs="Times New Roman"/>
      <w:b/>
      <w:bCs/>
      <w:sz w:val="32"/>
      <w:szCs w:val="28"/>
    </w:rPr>
  </w:style>
  <w:style w:type="character" w:customStyle="1" w:styleId="32">
    <w:name w:val="标题 3 字符"/>
    <w:uiPriority w:val="9"/>
    <w:semiHidden/>
    <w:qFormat/>
    <w:rPr>
      <w:rFonts w:ascii="等线" w:eastAsia="等线" w:hAnsi="等线" w:cs="Times New Roman"/>
      <w:b/>
      <w:bCs/>
      <w:sz w:val="32"/>
      <w:szCs w:val="32"/>
    </w:rPr>
  </w:style>
  <w:style w:type="paragraph" w:customStyle="1" w:styleId="13">
    <w:name w:val="修订1"/>
    <w:uiPriority w:val="99"/>
    <w:semiHidden/>
    <w:qFormat/>
    <w:rPr>
      <w:rFonts w:ascii="等线" w:eastAsia="等线" w:hAnsi="等线"/>
      <w:kern w:val="2"/>
      <w:sz w:val="21"/>
      <w:szCs w:val="22"/>
    </w:rPr>
  </w:style>
  <w:style w:type="character" w:customStyle="1" w:styleId="16">
    <w:name w:val="16"/>
    <w:qFormat/>
    <w:rPr>
      <w:rFonts w:ascii="Times New Roman" w:eastAsia="宋体" w:hAnsi="Times New Roman" w:cs="Times New Roman" w:hint="default"/>
      <w:color w:val="0000FF"/>
      <w:u w:val="single"/>
    </w:rPr>
  </w:style>
  <w:style w:type="character" w:customStyle="1" w:styleId="Char10">
    <w:name w:val="日期 Char1"/>
    <w:uiPriority w:val="99"/>
    <w:semiHidden/>
    <w:qFormat/>
    <w:rPr>
      <w:rFonts w:ascii="等线" w:eastAsia="等线" w:hAnsi="等线" w:cs="Times New Roman"/>
      <w:kern w:val="2"/>
      <w:sz w:val="21"/>
      <w:szCs w:val="22"/>
    </w:rPr>
  </w:style>
  <w:style w:type="character" w:customStyle="1" w:styleId="Char11">
    <w:name w:val="正文文本缩进 Char1"/>
    <w:uiPriority w:val="99"/>
    <w:semiHidden/>
    <w:qFormat/>
    <w:rPr>
      <w:rFonts w:ascii="等线" w:eastAsia="等线" w:hAnsi="等线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jsc.fjnu.edu.cn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468</Words>
  <Characters>2669</Characters>
  <Application>Microsoft Office Word</Application>
  <DocSecurity>0</DocSecurity>
  <Lines>22</Lines>
  <Paragraphs>6</Paragraphs>
  <ScaleCrop>false</ScaleCrop>
  <Company>微软中国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User</dc:creator>
  <cp:lastModifiedBy>林媛</cp:lastModifiedBy>
  <cp:revision>2</cp:revision>
  <cp:lastPrinted>2022-06-28T02:53:00Z</cp:lastPrinted>
  <dcterms:created xsi:type="dcterms:W3CDTF">2022-07-01T08:29:00Z</dcterms:created>
  <dcterms:modified xsi:type="dcterms:W3CDTF">2022-07-01T08:29:00Z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D4F3EAAEB7C54F59B74376C4CFE4B04A</vt:lpwstr>
  </property>
</Properties>
</file>